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079" w:rsidRPr="000A2079" w:rsidRDefault="000A2079" w:rsidP="000A2079">
      <w:pPr>
        <w:spacing w:after="150" w:line="338" w:lineRule="atLeast"/>
        <w:jc w:val="center"/>
        <w:rPr>
          <w:rFonts w:ascii="Times New Roman" w:eastAsia="Times New Roman" w:hAnsi="Times New Roman" w:cs="Times New Roman"/>
          <w:sz w:val="36"/>
          <w:szCs w:val="36"/>
          <w:lang w:eastAsia="es-CO"/>
        </w:rPr>
      </w:pPr>
      <w:r w:rsidRPr="000A2079">
        <w:rPr>
          <w:rFonts w:ascii="Times New Roman" w:eastAsia="Times New Roman" w:hAnsi="Times New Roman" w:cs="Times New Roman"/>
          <w:noProof/>
          <w:sz w:val="36"/>
          <w:szCs w:val="36"/>
          <w:lang w:eastAsia="es-CO"/>
        </w:rPr>
        <mc:AlternateContent>
          <mc:Choice Requires="wps">
            <w:drawing>
              <wp:inline distT="0" distB="0" distL="0" distR="0">
                <wp:extent cx="304800" cy="304800"/>
                <wp:effectExtent l="0" t="0" r="0" b="0"/>
                <wp:docPr id="1" name="Rectángulo 1" descr="Icono de libro abier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8B3A7" id="Rectángulo 1" o:spid="_x0000_s1026" alt="Icono de libro abier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1pCW3JAgAA2A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0A2079" w:rsidRDefault="000A2079" w:rsidP="000A2079">
      <w:pPr>
        <w:spacing w:before="100" w:beforeAutospacing="1" w:after="100" w:afterAutospacing="1" w:line="240" w:lineRule="auto"/>
        <w:outlineLvl w:val="0"/>
        <w:rPr>
          <w:rFonts w:ascii="Arial" w:eastAsia="Times New Roman" w:hAnsi="Arial" w:cs="Arial"/>
          <w:b/>
          <w:bCs/>
          <w:kern w:val="36"/>
          <w:sz w:val="48"/>
          <w:szCs w:val="48"/>
          <w:lang w:eastAsia="es-CO"/>
        </w:rPr>
      </w:pPr>
      <w:r w:rsidRPr="000A2079">
        <w:rPr>
          <w:rFonts w:ascii="Arial" w:eastAsia="Times New Roman" w:hAnsi="Arial" w:cs="Arial"/>
          <w:b/>
          <w:bCs/>
          <w:kern w:val="36"/>
          <w:sz w:val="48"/>
          <w:szCs w:val="48"/>
          <w:lang w:eastAsia="es-CO"/>
        </w:rPr>
        <w:t>Departamento Administrativo de la Función Pública</w:t>
      </w:r>
    </w:p>
    <w:p w:rsidR="000A2079" w:rsidRPr="000A2079" w:rsidRDefault="000A2079" w:rsidP="000A2079">
      <w:pPr>
        <w:spacing w:before="100" w:beforeAutospacing="1" w:after="100" w:afterAutospacing="1" w:line="240" w:lineRule="auto"/>
        <w:outlineLvl w:val="0"/>
        <w:rPr>
          <w:rFonts w:ascii="Arial" w:eastAsia="Times New Roman" w:hAnsi="Arial" w:cs="Arial"/>
          <w:b/>
          <w:bCs/>
          <w:kern w:val="36"/>
          <w:sz w:val="48"/>
          <w:szCs w:val="48"/>
          <w:lang w:eastAsia="es-CO"/>
        </w:rPr>
      </w:pPr>
      <w:r w:rsidRPr="000A2079">
        <w:rPr>
          <w:rFonts w:ascii="Arial" w:eastAsia="Times New Roman" w:hAnsi="Arial" w:cs="Arial"/>
          <w:b/>
          <w:bCs/>
          <w:kern w:val="36"/>
          <w:sz w:val="48"/>
          <w:szCs w:val="48"/>
          <w:lang w:eastAsia="es-CO"/>
        </w:rPr>
        <w:t>Concepto 303101 de 2019</w:t>
      </w:r>
    </w:p>
    <w:p w:rsidR="000A2079" w:rsidRPr="000A2079" w:rsidRDefault="000A2079" w:rsidP="000A2079">
      <w:pPr>
        <w:spacing w:after="150" w:line="240" w:lineRule="auto"/>
        <w:jc w:val="right"/>
        <w:rPr>
          <w:rFonts w:ascii="Arial" w:eastAsia="Times New Roman" w:hAnsi="Arial" w:cs="Arial"/>
          <w:color w:val="4A4A4A"/>
          <w:sz w:val="23"/>
          <w:szCs w:val="23"/>
          <w:lang w:eastAsia="es-CO"/>
        </w:rPr>
      </w:pPr>
      <w:bookmarkStart w:id="0" w:name="_GoBack"/>
      <w:bookmarkEnd w:id="0"/>
      <w:r w:rsidRPr="000A2079">
        <w:rPr>
          <w:rFonts w:ascii="Arial" w:eastAsia="Times New Roman" w:hAnsi="Arial" w:cs="Arial"/>
          <w:color w:val="4A4A4A"/>
          <w:sz w:val="23"/>
          <w:szCs w:val="23"/>
          <w:lang w:eastAsia="es-CO"/>
        </w:rPr>
        <w:t> </w:t>
      </w:r>
    </w:p>
    <w:p w:rsidR="000A2079" w:rsidRPr="000A2079" w:rsidRDefault="000A2079" w:rsidP="000A2079">
      <w:pPr>
        <w:spacing w:after="150" w:line="240" w:lineRule="auto"/>
        <w:jc w:val="right"/>
        <w:rPr>
          <w:rFonts w:ascii="Arial" w:eastAsia="Times New Roman" w:hAnsi="Arial" w:cs="Arial"/>
          <w:color w:val="4A4A4A"/>
          <w:sz w:val="23"/>
          <w:szCs w:val="23"/>
          <w:lang w:eastAsia="es-CO"/>
        </w:rPr>
      </w:pPr>
    </w:p>
    <w:p w:rsidR="000A2079" w:rsidRPr="000A2079" w:rsidRDefault="000A2079" w:rsidP="000A2079">
      <w:pPr>
        <w:spacing w:after="150" w:line="240" w:lineRule="auto"/>
        <w:jc w:val="right"/>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w:t>
      </w:r>
    </w:p>
    <w:p w:rsidR="000A2079" w:rsidRPr="000A2079" w:rsidRDefault="000A2079" w:rsidP="000A2079">
      <w:pPr>
        <w:spacing w:after="150" w:line="240" w:lineRule="auto"/>
        <w:jc w:val="right"/>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Fecha: 17/09/2019 08:26:30 a.m.</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Bogotá D.C.</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b/>
          <w:bCs/>
          <w:color w:val="4A4A4A"/>
          <w:sz w:val="24"/>
          <w:szCs w:val="24"/>
          <w:lang w:eastAsia="es-CO"/>
        </w:rPr>
        <w:t>REF.: INHABILIDADES E INCOMPATIBILIDADES</w:t>
      </w:r>
      <w:r w:rsidRPr="000A2079">
        <w:rPr>
          <w:rFonts w:ascii="Arial" w:eastAsia="Times New Roman" w:hAnsi="Arial" w:cs="Arial"/>
          <w:color w:val="4A4A4A"/>
          <w:sz w:val="24"/>
          <w:szCs w:val="24"/>
          <w:lang w:eastAsia="es-CO"/>
        </w:rPr>
        <w:t>. - Inhabilidad aspirar a ser elegido alcalde por ser contratista de la Contraloría Distrital. </w:t>
      </w:r>
      <w:r w:rsidRPr="000A2079">
        <w:rPr>
          <w:rFonts w:ascii="Arial" w:eastAsia="Times New Roman" w:hAnsi="Arial" w:cs="Arial"/>
          <w:b/>
          <w:bCs/>
          <w:color w:val="4A4A4A"/>
          <w:sz w:val="24"/>
          <w:szCs w:val="24"/>
          <w:lang w:eastAsia="es-CO"/>
        </w:rPr>
        <w:t>Rad: 20192060289322</w:t>
      </w:r>
      <w:r w:rsidRPr="000A2079">
        <w:rPr>
          <w:rFonts w:ascii="Arial" w:eastAsia="Times New Roman" w:hAnsi="Arial" w:cs="Arial"/>
          <w:color w:val="4A4A4A"/>
          <w:sz w:val="24"/>
          <w:szCs w:val="24"/>
          <w:lang w:eastAsia="es-CO"/>
        </w:rPr>
        <w:t> de fecha 15 de agosto de 2019.</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En atención a la comunicación de la referencia, remitida a este Departamento Administrativo por parte del Consejo Nacional Electoral, mediante la cual consulta si se encuentra inhabilitado para aspirar a ser elegido alcalde por tener un contrato de prestación de servicios en la Contraloría Distrital del mismo municipio al cual aspira ser elegido, me permito dar respuesta a la misma en los siguientes términos:</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Respecto de las inhabilidades para ser elegido Alcalde, la Ley </w:t>
      </w:r>
      <w:hyperlink r:id="rId5" w:anchor="136" w:history="1">
        <w:r w:rsidRPr="000A2079">
          <w:rPr>
            <w:rFonts w:ascii="Arial" w:eastAsia="Times New Roman" w:hAnsi="Arial" w:cs="Arial"/>
            <w:color w:val="337AB7"/>
            <w:sz w:val="24"/>
            <w:szCs w:val="24"/>
            <w:lang w:eastAsia="es-CO"/>
          </w:rPr>
          <w:t>136 </w:t>
        </w:r>
      </w:hyperlink>
      <w:r w:rsidRPr="000A2079">
        <w:rPr>
          <w:rFonts w:ascii="Arial" w:eastAsia="Times New Roman" w:hAnsi="Arial" w:cs="Arial"/>
          <w:color w:val="4A4A4A"/>
          <w:sz w:val="24"/>
          <w:szCs w:val="24"/>
          <w:lang w:eastAsia="es-CO"/>
        </w:rPr>
        <w:t>de 1994</w:t>
      </w:r>
      <w:r w:rsidRPr="000A2079">
        <w:rPr>
          <w:rFonts w:ascii="Arial" w:eastAsia="Times New Roman" w:hAnsi="Arial" w:cs="Arial"/>
          <w:color w:val="4A4A4A"/>
          <w:sz w:val="24"/>
          <w:szCs w:val="24"/>
          <w:vertAlign w:val="superscript"/>
          <w:lang w:eastAsia="es-CO"/>
        </w:rPr>
        <w:t>1</w:t>
      </w:r>
      <w:r w:rsidRPr="000A2079">
        <w:rPr>
          <w:rFonts w:ascii="Arial" w:eastAsia="Times New Roman" w:hAnsi="Arial" w:cs="Arial"/>
          <w:color w:val="4A4A4A"/>
          <w:sz w:val="24"/>
          <w:szCs w:val="24"/>
          <w:lang w:eastAsia="es-CO"/>
        </w:rPr>
        <w:t>, dispone:</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w:t>
      </w:r>
      <w:r w:rsidRPr="000A2079">
        <w:rPr>
          <w:rFonts w:ascii="Arial" w:eastAsia="Times New Roman" w:hAnsi="Arial" w:cs="Arial"/>
          <w:b/>
          <w:bCs/>
          <w:i/>
          <w:iCs/>
          <w:color w:val="4A4A4A"/>
          <w:sz w:val="24"/>
          <w:szCs w:val="24"/>
          <w:lang w:eastAsia="es-CO"/>
        </w:rPr>
        <w:t>ARTÍCULO </w:t>
      </w:r>
      <w:hyperlink r:id="rId6" w:anchor="95" w:history="1">
        <w:r w:rsidRPr="000A2079">
          <w:rPr>
            <w:rFonts w:ascii="Arial" w:eastAsia="Times New Roman" w:hAnsi="Arial" w:cs="Arial"/>
            <w:b/>
            <w:bCs/>
            <w:i/>
            <w:iCs/>
            <w:color w:val="337AB7"/>
            <w:sz w:val="24"/>
            <w:szCs w:val="24"/>
            <w:lang w:eastAsia="es-CO"/>
          </w:rPr>
          <w:t>95</w:t>
        </w:r>
      </w:hyperlink>
      <w:r w:rsidRPr="000A2079">
        <w:rPr>
          <w:rFonts w:ascii="Arial" w:eastAsia="Times New Roman" w:hAnsi="Arial" w:cs="Arial"/>
          <w:b/>
          <w:bCs/>
          <w:i/>
          <w:iCs/>
          <w:color w:val="4A4A4A"/>
          <w:sz w:val="24"/>
          <w:szCs w:val="24"/>
          <w:lang w:eastAsia="es-CO"/>
        </w:rPr>
        <w:t>. INHABILIDADES PARA SER ALCALDE</w:t>
      </w:r>
      <w:r w:rsidRPr="000A2079">
        <w:rPr>
          <w:rFonts w:ascii="Arial" w:eastAsia="Times New Roman" w:hAnsi="Arial" w:cs="Arial"/>
          <w:i/>
          <w:iCs/>
          <w:color w:val="4A4A4A"/>
          <w:sz w:val="24"/>
          <w:szCs w:val="24"/>
          <w:lang w:eastAsia="es-CO"/>
        </w:rPr>
        <w:t>. &lt;Artículo modificado por el artículo </w:t>
      </w:r>
      <w:hyperlink r:id="rId7" w:anchor="37" w:history="1">
        <w:r w:rsidRPr="000A2079">
          <w:rPr>
            <w:rFonts w:ascii="Arial" w:eastAsia="Times New Roman" w:hAnsi="Arial" w:cs="Arial"/>
            <w:i/>
            <w:iCs/>
            <w:color w:val="337AB7"/>
            <w:sz w:val="24"/>
            <w:szCs w:val="24"/>
            <w:lang w:eastAsia="es-CO"/>
          </w:rPr>
          <w:t>37</w:t>
        </w:r>
      </w:hyperlink>
      <w:r w:rsidRPr="000A2079">
        <w:rPr>
          <w:rFonts w:ascii="Arial" w:eastAsia="Times New Roman" w:hAnsi="Arial" w:cs="Arial"/>
          <w:i/>
          <w:iCs/>
          <w:color w:val="4A4A4A"/>
          <w:sz w:val="24"/>
          <w:szCs w:val="24"/>
          <w:lang w:eastAsia="es-CO"/>
        </w:rPr>
        <w:t> de la Ley 617 de 2000. El nuevo texto es el siguiente:&gt; No podrá ser inscrito como candidato, ni elegido, ni designado alcalde municipal o distrital:</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 </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 </w:t>
      </w:r>
    </w:p>
    <w:p w:rsidR="000A2079" w:rsidRPr="000A2079" w:rsidRDefault="000A2079" w:rsidP="000A2079">
      <w:pPr>
        <w:spacing w:after="0" w:line="240" w:lineRule="auto"/>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lastRenderedPageBreak/>
        <w:t>3. Quien dentro del </w:t>
      </w:r>
      <w:r w:rsidRPr="000A2079">
        <w:rPr>
          <w:rFonts w:ascii="Arial" w:eastAsia="Times New Roman" w:hAnsi="Arial" w:cs="Arial"/>
          <w:b/>
          <w:bCs/>
          <w:i/>
          <w:iCs/>
          <w:color w:val="4A4A4A"/>
          <w:sz w:val="24"/>
          <w:szCs w:val="24"/>
          <w:lang w:eastAsia="es-CO"/>
        </w:rPr>
        <w:t>año anterior a la elección</w:t>
      </w:r>
      <w:r w:rsidRPr="000A2079">
        <w:rPr>
          <w:rFonts w:ascii="Arial" w:eastAsia="Times New Roman" w:hAnsi="Arial" w:cs="Arial"/>
          <w:i/>
          <w:iCs/>
          <w:color w:val="4A4A4A"/>
          <w:sz w:val="24"/>
          <w:szCs w:val="24"/>
          <w:lang w:eastAsia="es-CO"/>
        </w:rPr>
        <w:t> haya intervenido en la gestión de negocios ante entidades públicas del nivel municipal o </w:t>
      </w:r>
      <w:r w:rsidRPr="000A2079">
        <w:rPr>
          <w:rFonts w:ascii="Arial" w:eastAsia="Times New Roman" w:hAnsi="Arial" w:cs="Arial"/>
          <w:i/>
          <w:iCs/>
          <w:color w:val="4A4A4A"/>
          <w:sz w:val="24"/>
          <w:szCs w:val="24"/>
          <w:u w:val="single"/>
          <w:lang w:eastAsia="es-CO"/>
        </w:rPr>
        <w:t>en la </w:t>
      </w:r>
      <w:r w:rsidRPr="000A2079">
        <w:rPr>
          <w:rFonts w:ascii="Arial" w:eastAsia="Times New Roman" w:hAnsi="Arial" w:cs="Arial"/>
          <w:b/>
          <w:bCs/>
          <w:i/>
          <w:iCs/>
          <w:color w:val="4A4A4A"/>
          <w:sz w:val="24"/>
          <w:szCs w:val="24"/>
          <w:u w:val="single"/>
          <w:lang w:eastAsia="es-CO"/>
        </w:rPr>
        <w:t>celebración de contratos con entidades públicas</w:t>
      </w:r>
      <w:r w:rsidRPr="000A2079">
        <w:rPr>
          <w:rFonts w:ascii="Arial" w:eastAsia="Times New Roman" w:hAnsi="Arial" w:cs="Arial"/>
          <w:i/>
          <w:iCs/>
          <w:color w:val="4A4A4A"/>
          <w:sz w:val="24"/>
          <w:szCs w:val="24"/>
          <w:u w:val="single"/>
          <w:lang w:eastAsia="es-CO"/>
        </w:rPr>
        <w:t> de cualquier nivel en interés propio o de terceros, siempre que los contratos deban ejecutarse o cumplirse en el respectivo municipio</w:t>
      </w:r>
      <w:r w:rsidRPr="000A2079">
        <w:rPr>
          <w:rFonts w:ascii="Arial" w:eastAsia="Times New Roman" w:hAnsi="Arial" w:cs="Arial"/>
          <w:i/>
          <w:iCs/>
          <w:color w:val="4A4A4A"/>
          <w:sz w:val="24"/>
          <w:szCs w:val="24"/>
          <w:lang w:eastAsia="es-CO"/>
        </w:rPr>
        <w:t>. Así mismo, quien dentro del año anterior a la elección, haya sido representante legal de entidades que administren tributos, tasas o contribuciones, o de las entidades que presten servicios públicos domiciliarios o de seguridad social de salud en el régimen subsidiado en el respectivo municipio.</w:t>
      </w:r>
    </w:p>
    <w:p w:rsidR="000A2079" w:rsidRPr="000A2079" w:rsidRDefault="000A2079" w:rsidP="000A2079">
      <w:pPr>
        <w:spacing w:after="0" w:line="240" w:lineRule="auto"/>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 </w:t>
      </w:r>
    </w:p>
    <w:p w:rsidR="000A2079" w:rsidRPr="000A2079" w:rsidRDefault="000A2079" w:rsidP="000A2079">
      <w:pPr>
        <w:spacing w:after="0" w:line="240" w:lineRule="auto"/>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w:t>
      </w:r>
      <w:r w:rsidRPr="000A2079">
        <w:rPr>
          <w:rFonts w:ascii="Arial" w:eastAsia="Times New Roman" w:hAnsi="Arial" w:cs="Arial"/>
          <w:color w:val="4A4A4A"/>
          <w:sz w:val="24"/>
          <w:szCs w:val="24"/>
          <w:lang w:eastAsia="es-CO"/>
        </w:rPr>
        <w:t> (Subraya y negrilla fuera de texto)</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 </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Conforme al artículo transcrito no podrán ser inscritos como candidatos, ni elegidos, ni designados como alcalde municipal, quien dentro de los doce (12) meses </w:t>
      </w:r>
      <w:r w:rsidRPr="000A2079">
        <w:rPr>
          <w:rFonts w:ascii="Arial" w:eastAsia="Times New Roman" w:hAnsi="Arial" w:cs="Arial"/>
          <w:color w:val="4A4A4A"/>
          <w:sz w:val="24"/>
          <w:szCs w:val="24"/>
          <w:u w:val="single"/>
          <w:lang w:eastAsia="es-CO"/>
        </w:rPr>
        <w:t>anteriores a la fecha de la elección</w:t>
      </w:r>
      <w:r w:rsidRPr="000A2079">
        <w:rPr>
          <w:rFonts w:ascii="Arial" w:eastAsia="Times New Roman" w:hAnsi="Arial" w:cs="Arial"/>
          <w:color w:val="4A4A4A"/>
          <w:sz w:val="24"/>
          <w:szCs w:val="24"/>
          <w:lang w:eastAsia="es-CO"/>
        </w:rPr>
        <w:t> intervenido en la gestión de negocios ante entidades públicas del nivel municipal o en la </w:t>
      </w:r>
      <w:r w:rsidRPr="000A2079">
        <w:rPr>
          <w:rFonts w:ascii="Arial" w:eastAsia="Times New Roman" w:hAnsi="Arial" w:cs="Arial"/>
          <w:b/>
          <w:bCs/>
          <w:color w:val="4A4A4A"/>
          <w:sz w:val="24"/>
          <w:szCs w:val="24"/>
          <w:lang w:eastAsia="es-CO"/>
        </w:rPr>
        <w:t>celebración de contratos</w:t>
      </w:r>
      <w:r w:rsidRPr="000A2079">
        <w:rPr>
          <w:rFonts w:ascii="Arial" w:eastAsia="Times New Roman" w:hAnsi="Arial" w:cs="Arial"/>
          <w:color w:val="4A4A4A"/>
          <w:sz w:val="24"/>
          <w:szCs w:val="24"/>
          <w:lang w:eastAsia="es-CO"/>
        </w:rPr>
        <w:t> con </w:t>
      </w:r>
      <w:r w:rsidRPr="000A2079">
        <w:rPr>
          <w:rFonts w:ascii="Arial" w:eastAsia="Times New Roman" w:hAnsi="Arial" w:cs="Arial"/>
          <w:b/>
          <w:bCs/>
          <w:color w:val="4A4A4A"/>
          <w:sz w:val="24"/>
          <w:szCs w:val="24"/>
          <w:lang w:eastAsia="es-CO"/>
        </w:rPr>
        <w:t>entidades públicas de cualquier nivel</w:t>
      </w:r>
      <w:r w:rsidRPr="000A2079">
        <w:rPr>
          <w:rFonts w:ascii="Arial" w:eastAsia="Times New Roman" w:hAnsi="Arial" w:cs="Arial"/>
          <w:color w:val="4A4A4A"/>
          <w:sz w:val="24"/>
          <w:szCs w:val="24"/>
          <w:lang w:eastAsia="es-CO"/>
        </w:rPr>
        <w:t> en interés propio o de terceros, siempre que los contratos deban ejecutarse o cumplirse en el respectivo municipio</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xml:space="preserve">Con respecto a la diferencia entre la celebración y ejecución de contratos, el Consejo de Estado en Sentencia del 31 de agosto de 2006, radicado 4033, Magistrado Ponente: Reinaldo </w:t>
      </w:r>
      <w:proofErr w:type="spellStart"/>
      <w:r w:rsidRPr="000A2079">
        <w:rPr>
          <w:rFonts w:ascii="Arial" w:eastAsia="Times New Roman" w:hAnsi="Arial" w:cs="Arial"/>
          <w:color w:val="4A4A4A"/>
          <w:sz w:val="24"/>
          <w:szCs w:val="24"/>
          <w:lang w:eastAsia="es-CO"/>
        </w:rPr>
        <w:t>Chavarro</w:t>
      </w:r>
      <w:proofErr w:type="spellEnd"/>
      <w:r w:rsidRPr="000A2079">
        <w:rPr>
          <w:rFonts w:ascii="Arial" w:eastAsia="Times New Roman" w:hAnsi="Arial" w:cs="Arial"/>
          <w:color w:val="4A4A4A"/>
          <w:sz w:val="24"/>
          <w:szCs w:val="24"/>
          <w:lang w:eastAsia="es-CO"/>
        </w:rPr>
        <w:t xml:space="preserve"> </w:t>
      </w:r>
      <w:proofErr w:type="spellStart"/>
      <w:r w:rsidRPr="000A2079">
        <w:rPr>
          <w:rFonts w:ascii="Arial" w:eastAsia="Times New Roman" w:hAnsi="Arial" w:cs="Arial"/>
          <w:color w:val="4A4A4A"/>
          <w:sz w:val="24"/>
          <w:szCs w:val="24"/>
          <w:lang w:eastAsia="es-CO"/>
        </w:rPr>
        <w:t>Buriticá</w:t>
      </w:r>
      <w:proofErr w:type="spellEnd"/>
      <w:r w:rsidRPr="000A2079">
        <w:rPr>
          <w:rFonts w:ascii="Arial" w:eastAsia="Times New Roman" w:hAnsi="Arial" w:cs="Arial"/>
          <w:color w:val="4A4A4A"/>
          <w:sz w:val="24"/>
          <w:szCs w:val="24"/>
          <w:lang w:eastAsia="es-CO"/>
        </w:rPr>
        <w:t>, señaló:</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 </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 </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"...esta Sala ha entendido por intervención en la celebración de contratos aquellas gestiones o actuaciones que indiquen una participación personal y activa en los actos conducentes a la celebración del mismo y permitan develar un claro interés sobre el particular. De esta manera, la intervención en la celebración de contratos comprende un concepto amplio que no solamente involucra a terceros que participan personal y activamente en las actividades precontractuales, sino también a las partes del contrato, en donde la participación personal se entiende directa.</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 </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w:t>
      </w:r>
      <w:r w:rsidRPr="000A2079">
        <w:rPr>
          <w:rFonts w:ascii="Arial" w:eastAsia="Times New Roman" w:hAnsi="Arial" w:cs="Arial"/>
          <w:i/>
          <w:iCs/>
          <w:color w:val="4A4A4A"/>
          <w:sz w:val="24"/>
          <w:szCs w:val="24"/>
          <w:u w:val="single"/>
          <w:lang w:eastAsia="es-CO"/>
        </w:rPr>
        <w:t>De otra parte, ha establecido que lo que constituye causal de inhabilidad es la intervención en la celebración de contratos y no su ejecución</w:t>
      </w:r>
      <w:r w:rsidRPr="000A2079">
        <w:rPr>
          <w:rFonts w:ascii="Arial" w:eastAsia="Times New Roman" w:hAnsi="Arial" w:cs="Arial"/>
          <w:i/>
          <w:iCs/>
          <w:color w:val="4A4A4A"/>
          <w:sz w:val="24"/>
          <w:szCs w:val="24"/>
          <w:vertAlign w:val="superscript"/>
          <w:lang w:eastAsia="es-CO"/>
        </w:rPr>
        <w:t>2</w:t>
      </w:r>
      <w:r w:rsidRPr="000A2079">
        <w:rPr>
          <w:rFonts w:ascii="Arial" w:eastAsia="Times New Roman" w:hAnsi="Arial" w:cs="Arial"/>
          <w:i/>
          <w:iCs/>
          <w:color w:val="4A4A4A"/>
          <w:sz w:val="24"/>
          <w:szCs w:val="24"/>
          <w:lang w:eastAsia="es-CO"/>
        </w:rPr>
        <w:t>. Igual consideración expresó respecto de la intervención en la gestión de negocios”.</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 </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En la sentencia </w:t>
      </w:r>
      <w:hyperlink r:id="rId8" w:anchor="618" w:history="1">
        <w:r w:rsidRPr="000A2079">
          <w:rPr>
            <w:rFonts w:ascii="Arial" w:eastAsia="Times New Roman" w:hAnsi="Arial" w:cs="Arial"/>
            <w:i/>
            <w:iCs/>
            <w:color w:val="337AB7"/>
            <w:sz w:val="24"/>
            <w:szCs w:val="24"/>
            <w:lang w:eastAsia="es-CO"/>
          </w:rPr>
          <w:t>C- 618</w:t>
        </w:r>
      </w:hyperlink>
      <w:r w:rsidRPr="000A2079">
        <w:rPr>
          <w:rFonts w:ascii="Arial" w:eastAsia="Times New Roman" w:hAnsi="Arial" w:cs="Arial"/>
          <w:i/>
          <w:iCs/>
          <w:color w:val="4A4A4A"/>
          <w:sz w:val="24"/>
          <w:szCs w:val="24"/>
          <w:lang w:eastAsia="es-CO"/>
        </w:rPr>
        <w:t> de 27 de noviembre de 1997 la Corte Constitucional señaló que dicha inhabilidad perseguía las siguientes finalidades constitucionales:</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 </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lastRenderedPageBreak/>
        <w:t>"evitar una confusión entre intereses públicos y privados. En efecto, quien ha intervenido en nombre propio o de terceros en la celebración de un contrato con la administración, en principio defiende los intereses particulares frente a los intereses del Estado, mientras que el alcalde tiene exactamente la función contraria, pues su función es la preservación de los intereses del municipio, por lo cual le corresponde incluso ejercer un control sobre los propios contratistas. Por ello, y como bien lo señalan los intervinientes, resulta razonable evitar que llegue a ser jefe de la administración local quien, como particular, ha participado en una contratación que interesa al municipio, sin que medie un plazo prudente que garantice la no incidencia del funcionario en las medidas, recursos y evaluaciones que se encuentran en cabeza de la administración.</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 </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De otro lado, la inhabilidad también puede cumplir otra finalidad constitucionalmente relevante, pues obstaculiza el aprovechamiento de recursos públicos para desfigurar los procesos electorales. En efecto, un contratista, por el hecho de adelantar obras de "utilidad para la comunidad, puede llegar a ejercer una cierta influencia local, que podría aprovechar en los procesos electorales municipales, con lo cual se viola la igualdad en este campo y se altera la propia dinámica de la participación política.</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 </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i/>
          <w:iCs/>
          <w:color w:val="4A4A4A"/>
          <w:sz w:val="24"/>
          <w:szCs w:val="24"/>
          <w:lang w:eastAsia="es-CO"/>
        </w:rPr>
        <w:t>La Sección, por su parte, sostuvo en varias ocasiones que la inhabilidad solo podía predicarse frente a quienes intervienen en la celebración de contratos en interés particular (propio o de un tercero) y no frente a quienes celebraran contratos en su calidad de funcionarios públicos y en nombre de entidades públicas, pues en tal caso actúan como representantes del interés general y en cumplimiento de un deber legal.</w:t>
      </w:r>
      <w:r w:rsidRPr="000A2079">
        <w:rPr>
          <w:rFonts w:ascii="Arial" w:eastAsia="Times New Roman" w:hAnsi="Arial" w:cs="Arial"/>
          <w:i/>
          <w:iCs/>
          <w:color w:val="4A4A4A"/>
          <w:sz w:val="24"/>
          <w:szCs w:val="24"/>
          <w:vertAlign w:val="superscript"/>
          <w:lang w:eastAsia="es-CO"/>
        </w:rPr>
        <w:t>3</w:t>
      </w:r>
      <w:r w:rsidRPr="000A2079">
        <w:rPr>
          <w:rFonts w:ascii="Arial" w:eastAsia="Times New Roman" w:hAnsi="Arial" w:cs="Arial"/>
          <w:i/>
          <w:iCs/>
          <w:color w:val="4A4A4A"/>
          <w:sz w:val="24"/>
          <w:szCs w:val="24"/>
          <w:lang w:eastAsia="es-CO"/>
        </w:rPr>
        <w:t>.” (Subrayado fuera de texto).</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De acuerdo con el anterior pronunciamiento, lo que constituye causal de inhabilidad es la intervención en la </w:t>
      </w:r>
      <w:r w:rsidRPr="000A2079">
        <w:rPr>
          <w:rFonts w:ascii="Arial" w:eastAsia="Times New Roman" w:hAnsi="Arial" w:cs="Arial"/>
          <w:color w:val="4A4A4A"/>
          <w:sz w:val="24"/>
          <w:szCs w:val="24"/>
          <w:u w:val="single"/>
          <w:lang w:eastAsia="es-CO"/>
        </w:rPr>
        <w:t>celebración de contratos y no su ejecución</w:t>
      </w:r>
      <w:r w:rsidRPr="000A2079">
        <w:rPr>
          <w:rFonts w:ascii="Arial" w:eastAsia="Times New Roman" w:hAnsi="Arial" w:cs="Arial"/>
          <w:color w:val="4A4A4A"/>
          <w:sz w:val="24"/>
          <w:szCs w:val="24"/>
          <w:lang w:eastAsia="es-CO"/>
        </w:rPr>
        <w:t>. En consecuencia, puede inferirse que la fecha a tener en cuenta para que se configure la causal de inhabilidad relacionada con la celebración de contratos es el momento de </w:t>
      </w:r>
      <w:r w:rsidRPr="000A2079">
        <w:rPr>
          <w:rFonts w:ascii="Arial" w:eastAsia="Times New Roman" w:hAnsi="Arial" w:cs="Arial"/>
          <w:b/>
          <w:bCs/>
          <w:color w:val="4A4A4A"/>
          <w:sz w:val="24"/>
          <w:szCs w:val="24"/>
          <w:lang w:eastAsia="es-CO"/>
        </w:rPr>
        <w:t>su suscripción</w:t>
      </w:r>
      <w:r w:rsidRPr="000A2079">
        <w:rPr>
          <w:rFonts w:ascii="Arial" w:eastAsia="Times New Roman" w:hAnsi="Arial" w:cs="Arial"/>
          <w:color w:val="4A4A4A"/>
          <w:sz w:val="24"/>
          <w:szCs w:val="24"/>
          <w:lang w:eastAsia="es-CO"/>
        </w:rPr>
        <w:t> y no su ejecución.</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Por consiguiente, para que haya lugar a la inhabilidad relacionada con la celebración de contratos se requiere i) celebrar contratos con entidades públicas de </w:t>
      </w:r>
      <w:r w:rsidRPr="000A2079">
        <w:rPr>
          <w:rFonts w:ascii="Arial" w:eastAsia="Times New Roman" w:hAnsi="Arial" w:cs="Arial"/>
          <w:b/>
          <w:bCs/>
          <w:color w:val="4A4A4A"/>
          <w:sz w:val="24"/>
          <w:szCs w:val="24"/>
          <w:lang w:eastAsia="es-CO"/>
        </w:rPr>
        <w:t>cualquier nivel</w:t>
      </w:r>
      <w:r w:rsidRPr="000A2079">
        <w:rPr>
          <w:rFonts w:ascii="Arial" w:eastAsia="Times New Roman" w:hAnsi="Arial" w:cs="Arial"/>
          <w:color w:val="4A4A4A"/>
          <w:sz w:val="24"/>
          <w:szCs w:val="24"/>
          <w:lang w:eastAsia="es-CO"/>
        </w:rPr>
        <w:t> dentro </w:t>
      </w:r>
      <w:r w:rsidRPr="000A2079">
        <w:rPr>
          <w:rFonts w:ascii="Arial" w:eastAsia="Times New Roman" w:hAnsi="Arial" w:cs="Arial"/>
          <w:b/>
          <w:bCs/>
          <w:color w:val="4A4A4A"/>
          <w:sz w:val="24"/>
          <w:szCs w:val="24"/>
          <w:lang w:eastAsia="es-CO"/>
        </w:rPr>
        <w:t>del año anterior a la fecha de la elección</w:t>
      </w:r>
      <w:r w:rsidRPr="000A2079">
        <w:rPr>
          <w:rFonts w:ascii="Arial" w:eastAsia="Times New Roman" w:hAnsi="Arial" w:cs="Arial"/>
          <w:color w:val="4A4A4A"/>
          <w:sz w:val="24"/>
          <w:szCs w:val="24"/>
          <w:lang w:eastAsia="es-CO"/>
        </w:rPr>
        <w:t>, ii) En interés propio o de terceros y iii) que dichos contratos deban ejecutarse o cumplirse en el respectivo Municipio o distrito.</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xml:space="preserve">En consecuencia, teniendo en cuenta que el 27 de octubre de 2019 se realizarán los escrutinios para elegir alcaldes, gobernadores, diputados, concejales y </w:t>
      </w:r>
      <w:r w:rsidRPr="000A2079">
        <w:rPr>
          <w:rFonts w:ascii="Arial" w:eastAsia="Times New Roman" w:hAnsi="Arial" w:cs="Arial"/>
          <w:color w:val="4A4A4A"/>
          <w:sz w:val="24"/>
          <w:szCs w:val="24"/>
          <w:lang w:eastAsia="es-CO"/>
        </w:rPr>
        <w:lastRenderedPageBreak/>
        <w:t>miembros de las juntas administradoras locales, para el periodo 2020 – 2023, y como quiera que la Contraloría Distrital es una entidad pública enmarcada en la prohibición del artículo </w:t>
      </w:r>
      <w:hyperlink r:id="rId9" w:anchor="95" w:history="1">
        <w:r w:rsidRPr="000A2079">
          <w:rPr>
            <w:rFonts w:ascii="Arial" w:eastAsia="Times New Roman" w:hAnsi="Arial" w:cs="Arial"/>
            <w:color w:val="337AB7"/>
            <w:sz w:val="24"/>
            <w:szCs w:val="24"/>
            <w:lang w:eastAsia="es-CO"/>
          </w:rPr>
          <w:t>95</w:t>
        </w:r>
      </w:hyperlink>
      <w:r w:rsidRPr="000A2079">
        <w:rPr>
          <w:rFonts w:ascii="Arial" w:eastAsia="Times New Roman" w:hAnsi="Arial" w:cs="Arial"/>
          <w:color w:val="4A4A4A"/>
          <w:sz w:val="24"/>
          <w:szCs w:val="24"/>
          <w:lang w:eastAsia="es-CO"/>
        </w:rPr>
        <w:t xml:space="preserve"> de la Ley 617 de 2000, esta Dirección Jurídica considera que si suscribió un contrato con dicha entidad en el periodo </w:t>
      </w:r>
      <w:proofErr w:type="spellStart"/>
      <w:r w:rsidRPr="000A2079">
        <w:rPr>
          <w:rFonts w:ascii="Arial" w:eastAsia="Times New Roman" w:hAnsi="Arial" w:cs="Arial"/>
          <w:color w:val="4A4A4A"/>
          <w:sz w:val="24"/>
          <w:szCs w:val="24"/>
          <w:lang w:eastAsia="es-CO"/>
        </w:rPr>
        <w:t>inhabilitante</w:t>
      </w:r>
      <w:proofErr w:type="spellEnd"/>
      <w:r w:rsidRPr="000A2079">
        <w:rPr>
          <w:rFonts w:ascii="Arial" w:eastAsia="Times New Roman" w:hAnsi="Arial" w:cs="Arial"/>
          <w:color w:val="4A4A4A"/>
          <w:sz w:val="24"/>
          <w:szCs w:val="24"/>
          <w:lang w:eastAsia="es-CO"/>
        </w:rPr>
        <w:t xml:space="preserve"> comprendido entre el 27 de octubre de 2018 y el 27 de octubre de 2019, se encuentra inhabilitado para aspirar a ser elegido alcalde del respectivo municipio.</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Para mayor información respecto de las normas de administración de los empleados del sector público; así como las inhabilidades e incompatibilidades aplicables a los mismos, me permito indicar que en el link </w:t>
      </w:r>
      <w:hyperlink r:id="rId10" w:history="1">
        <w:r w:rsidRPr="000A2079">
          <w:rPr>
            <w:rFonts w:ascii="Arial" w:eastAsia="Times New Roman" w:hAnsi="Arial" w:cs="Arial"/>
            <w:color w:val="337AB7"/>
            <w:sz w:val="24"/>
            <w:szCs w:val="24"/>
            <w:lang w:eastAsia="es-CO"/>
          </w:rPr>
          <w:t>/</w:t>
        </w:r>
        <w:proofErr w:type="spellStart"/>
        <w:r w:rsidRPr="000A2079">
          <w:rPr>
            <w:rFonts w:ascii="Arial" w:eastAsia="Times New Roman" w:hAnsi="Arial" w:cs="Arial"/>
            <w:color w:val="337AB7"/>
            <w:sz w:val="24"/>
            <w:szCs w:val="24"/>
            <w:lang w:eastAsia="es-CO"/>
          </w:rPr>
          <w:t>eva</w:t>
        </w:r>
        <w:proofErr w:type="spellEnd"/>
        <w:r w:rsidRPr="000A2079">
          <w:rPr>
            <w:rFonts w:ascii="Arial" w:eastAsia="Times New Roman" w:hAnsi="Arial" w:cs="Arial"/>
            <w:color w:val="337AB7"/>
            <w:sz w:val="24"/>
            <w:szCs w:val="24"/>
            <w:lang w:eastAsia="es-CO"/>
          </w:rPr>
          <w:t>/es/gestor-normativo</w:t>
        </w:r>
      </w:hyperlink>
      <w:r w:rsidRPr="000A2079">
        <w:rPr>
          <w:rFonts w:ascii="Arial" w:eastAsia="Times New Roman" w:hAnsi="Arial" w:cs="Arial"/>
          <w:color w:val="4A4A4A"/>
          <w:sz w:val="24"/>
          <w:szCs w:val="24"/>
          <w:lang w:eastAsia="es-CO"/>
        </w:rPr>
        <w:t> podrá encontrar conceptos relacionados con el tema, que han sido emitidos por esta Dirección Jurídica.</w:t>
      </w:r>
    </w:p>
    <w:p w:rsidR="000A2079" w:rsidRPr="000A2079" w:rsidRDefault="000A2079" w:rsidP="000A2079">
      <w:pPr>
        <w:spacing w:after="150" w:line="240" w:lineRule="auto"/>
        <w:jc w:val="both"/>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El anterior concepto se emite en los términos establecidos en el artículo 28 del Código de Procedimiento Administrativo y de lo Contencioso Administrativo.</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Cordialmente,</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b/>
          <w:bCs/>
          <w:color w:val="4A4A4A"/>
          <w:sz w:val="24"/>
          <w:szCs w:val="24"/>
          <w:lang w:eastAsia="es-CO"/>
        </w:rPr>
        <w:t>ARMANDO LÓPEZ CORTES</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b/>
          <w:bCs/>
          <w:color w:val="4A4A4A"/>
          <w:sz w:val="24"/>
          <w:szCs w:val="24"/>
          <w:lang w:eastAsia="es-CO"/>
        </w:rPr>
        <w:t>Director Jurídico</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Proyectó: A. Ramos</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Revisó: José Fernando Ceballos Arroyave</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 </w:t>
      </w:r>
    </w:p>
    <w:p w:rsidR="000A2079" w:rsidRPr="000A2079" w:rsidRDefault="000A2079" w:rsidP="000A2079">
      <w:pPr>
        <w:spacing w:after="150" w:line="240" w:lineRule="auto"/>
        <w:rPr>
          <w:rFonts w:ascii="Arial" w:eastAsia="Times New Roman" w:hAnsi="Arial" w:cs="Arial"/>
          <w:color w:val="4A4A4A"/>
          <w:sz w:val="24"/>
          <w:szCs w:val="24"/>
          <w:lang w:eastAsia="es-CO"/>
        </w:rPr>
      </w:pPr>
      <w:r w:rsidRPr="000A2079">
        <w:rPr>
          <w:rFonts w:ascii="Arial" w:eastAsia="Times New Roman" w:hAnsi="Arial" w:cs="Arial"/>
          <w:color w:val="4A4A4A"/>
          <w:sz w:val="24"/>
          <w:szCs w:val="24"/>
          <w:lang w:eastAsia="es-CO"/>
        </w:rPr>
        <w:t>Aprobó: Armando López Cortes</w:t>
      </w:r>
    </w:p>
    <w:p w:rsidR="000A2079" w:rsidRPr="000A2079" w:rsidRDefault="000A2079" w:rsidP="000A2079">
      <w:pPr>
        <w:spacing w:after="150" w:line="240" w:lineRule="auto"/>
        <w:jc w:val="both"/>
        <w:rPr>
          <w:rFonts w:ascii="Arial" w:eastAsia="Times New Roman" w:hAnsi="Arial" w:cs="Arial"/>
          <w:color w:val="4A4A4A"/>
          <w:sz w:val="23"/>
          <w:szCs w:val="23"/>
          <w:lang w:eastAsia="es-CO"/>
        </w:rPr>
      </w:pPr>
      <w:r w:rsidRPr="000A2079">
        <w:rPr>
          <w:rFonts w:ascii="Arial" w:eastAsia="Times New Roman" w:hAnsi="Arial" w:cs="Arial"/>
          <w:color w:val="4A4A4A"/>
          <w:sz w:val="23"/>
          <w:szCs w:val="23"/>
          <w:lang w:eastAsia="es-CO"/>
        </w:rPr>
        <w:t> </w:t>
      </w:r>
    </w:p>
    <w:p w:rsidR="000A2079" w:rsidRPr="000A2079" w:rsidRDefault="000A2079" w:rsidP="000A2079">
      <w:pPr>
        <w:spacing w:after="150" w:line="240" w:lineRule="auto"/>
        <w:jc w:val="both"/>
        <w:rPr>
          <w:rFonts w:ascii="Arial" w:eastAsia="Times New Roman" w:hAnsi="Arial" w:cs="Arial"/>
          <w:color w:val="4A4A4A"/>
          <w:sz w:val="23"/>
          <w:szCs w:val="23"/>
          <w:lang w:eastAsia="es-CO"/>
        </w:rPr>
      </w:pPr>
      <w:r w:rsidRPr="000A2079">
        <w:rPr>
          <w:rFonts w:ascii="Arial" w:eastAsia="Times New Roman" w:hAnsi="Arial" w:cs="Arial"/>
          <w:color w:val="4A4A4A"/>
          <w:sz w:val="23"/>
          <w:szCs w:val="23"/>
          <w:lang w:eastAsia="es-CO"/>
        </w:rPr>
        <w:t>11602.8.4</w:t>
      </w:r>
    </w:p>
    <w:p w:rsidR="000A2079" w:rsidRPr="000A2079" w:rsidRDefault="000A2079" w:rsidP="000A2079">
      <w:pPr>
        <w:spacing w:after="150" w:line="240" w:lineRule="auto"/>
        <w:jc w:val="both"/>
        <w:rPr>
          <w:rFonts w:ascii="Arial" w:eastAsia="Times New Roman" w:hAnsi="Arial" w:cs="Arial"/>
          <w:color w:val="4A4A4A"/>
          <w:sz w:val="23"/>
          <w:szCs w:val="23"/>
          <w:lang w:eastAsia="es-CO"/>
        </w:rPr>
      </w:pPr>
      <w:r w:rsidRPr="000A2079">
        <w:rPr>
          <w:rFonts w:ascii="Arial" w:eastAsia="Times New Roman" w:hAnsi="Arial" w:cs="Arial"/>
          <w:color w:val="4A4A4A"/>
          <w:sz w:val="23"/>
          <w:szCs w:val="23"/>
          <w:lang w:eastAsia="es-CO"/>
        </w:rPr>
        <w:t> </w:t>
      </w:r>
    </w:p>
    <w:p w:rsidR="000A2079" w:rsidRPr="000A2079" w:rsidRDefault="000A2079" w:rsidP="000A2079">
      <w:pPr>
        <w:spacing w:after="150" w:line="240" w:lineRule="auto"/>
        <w:jc w:val="both"/>
        <w:rPr>
          <w:rFonts w:ascii="Arial" w:eastAsia="Times New Roman" w:hAnsi="Arial" w:cs="Arial"/>
          <w:color w:val="4A4A4A"/>
          <w:sz w:val="23"/>
          <w:szCs w:val="23"/>
          <w:lang w:eastAsia="es-CO"/>
        </w:rPr>
      </w:pPr>
      <w:r w:rsidRPr="000A2079">
        <w:rPr>
          <w:rFonts w:ascii="Arial" w:eastAsia="Times New Roman" w:hAnsi="Arial" w:cs="Arial"/>
          <w:b/>
          <w:bCs/>
          <w:color w:val="4A4A4A"/>
          <w:sz w:val="23"/>
          <w:szCs w:val="23"/>
          <w:lang w:eastAsia="es-CO"/>
        </w:rPr>
        <w:t xml:space="preserve">NOTAS DE PIE DE </w:t>
      </w:r>
      <w:proofErr w:type="gramStart"/>
      <w:r w:rsidRPr="000A2079">
        <w:rPr>
          <w:rFonts w:ascii="Arial" w:eastAsia="Times New Roman" w:hAnsi="Arial" w:cs="Arial"/>
          <w:b/>
          <w:bCs/>
          <w:color w:val="4A4A4A"/>
          <w:sz w:val="23"/>
          <w:szCs w:val="23"/>
          <w:lang w:eastAsia="es-CO"/>
        </w:rPr>
        <w:t>PAGINA</w:t>
      </w:r>
      <w:proofErr w:type="gramEnd"/>
    </w:p>
    <w:p w:rsidR="000A2079" w:rsidRPr="000A2079" w:rsidRDefault="000A2079" w:rsidP="000A2079">
      <w:pPr>
        <w:spacing w:after="150" w:line="240" w:lineRule="auto"/>
        <w:jc w:val="both"/>
        <w:rPr>
          <w:rFonts w:ascii="Arial" w:eastAsia="Times New Roman" w:hAnsi="Arial" w:cs="Arial"/>
          <w:color w:val="4A4A4A"/>
          <w:sz w:val="23"/>
          <w:szCs w:val="23"/>
          <w:lang w:eastAsia="es-CO"/>
        </w:rPr>
      </w:pPr>
      <w:r w:rsidRPr="000A2079">
        <w:rPr>
          <w:rFonts w:ascii="Arial" w:eastAsia="Times New Roman" w:hAnsi="Arial" w:cs="Arial"/>
          <w:color w:val="4A4A4A"/>
          <w:sz w:val="23"/>
          <w:szCs w:val="23"/>
          <w:lang w:eastAsia="es-CO"/>
        </w:rPr>
        <w:t> </w:t>
      </w:r>
    </w:p>
    <w:p w:rsidR="000A2079" w:rsidRPr="000A2079" w:rsidRDefault="000A2079" w:rsidP="000A2079">
      <w:pPr>
        <w:shd w:val="clear" w:color="auto" w:fill="FFFFFF"/>
        <w:spacing w:after="150" w:line="240" w:lineRule="auto"/>
        <w:rPr>
          <w:rFonts w:ascii="Arial" w:eastAsia="Times New Roman" w:hAnsi="Arial" w:cs="Arial"/>
          <w:color w:val="4A4A4A"/>
          <w:sz w:val="23"/>
          <w:szCs w:val="23"/>
          <w:lang w:eastAsia="es-CO"/>
        </w:rPr>
      </w:pPr>
      <w:r w:rsidRPr="000A2079">
        <w:rPr>
          <w:rFonts w:ascii="Arial" w:eastAsia="Times New Roman" w:hAnsi="Arial" w:cs="Arial"/>
          <w:color w:val="4A4A4A"/>
          <w:sz w:val="23"/>
          <w:szCs w:val="23"/>
          <w:lang w:eastAsia="es-CO"/>
        </w:rPr>
        <w:t>1. Por la cual se dictan normas tendientes a modernizar la organización y el funcionamiento de los municipios.</w:t>
      </w:r>
    </w:p>
    <w:p w:rsidR="000A2079" w:rsidRPr="000A2079" w:rsidRDefault="000A2079" w:rsidP="000A2079">
      <w:pPr>
        <w:spacing w:after="150" w:line="240" w:lineRule="auto"/>
        <w:jc w:val="both"/>
        <w:rPr>
          <w:rFonts w:ascii="Arial" w:eastAsia="Times New Roman" w:hAnsi="Arial" w:cs="Arial"/>
          <w:color w:val="4A4A4A"/>
          <w:sz w:val="17"/>
          <w:szCs w:val="17"/>
          <w:lang w:eastAsia="es-CO"/>
        </w:rPr>
      </w:pPr>
      <w:r w:rsidRPr="000A2079">
        <w:rPr>
          <w:rFonts w:ascii="Arial" w:eastAsia="Times New Roman" w:hAnsi="Arial" w:cs="Arial"/>
          <w:color w:val="4A4A4A"/>
          <w:sz w:val="17"/>
          <w:szCs w:val="17"/>
          <w:lang w:eastAsia="es-CO"/>
        </w:rPr>
        <w:t>2. Sentencia de 6 de marzo de 2003 proferido por la Sección 58 de la Sala de lo Contencioso Administrativo de esta Corporación, entre otras.</w:t>
      </w:r>
    </w:p>
    <w:p w:rsidR="000A2079" w:rsidRPr="000A2079" w:rsidRDefault="000A2079" w:rsidP="000A2079">
      <w:pPr>
        <w:spacing w:after="150" w:line="240" w:lineRule="auto"/>
        <w:jc w:val="both"/>
        <w:rPr>
          <w:rFonts w:ascii="Arial" w:eastAsia="Times New Roman" w:hAnsi="Arial" w:cs="Arial"/>
          <w:color w:val="4A4A4A"/>
          <w:sz w:val="23"/>
          <w:szCs w:val="23"/>
          <w:lang w:eastAsia="es-CO"/>
        </w:rPr>
      </w:pPr>
      <w:r w:rsidRPr="000A2079">
        <w:rPr>
          <w:rFonts w:ascii="Arial" w:eastAsia="Times New Roman" w:hAnsi="Arial" w:cs="Arial"/>
          <w:color w:val="4A4A4A"/>
          <w:sz w:val="23"/>
          <w:szCs w:val="23"/>
          <w:lang w:eastAsia="es-CO"/>
        </w:rPr>
        <w:lastRenderedPageBreak/>
        <w:t> </w:t>
      </w:r>
    </w:p>
    <w:p w:rsidR="000A2079" w:rsidRPr="000A2079" w:rsidRDefault="000A2079" w:rsidP="000A2079">
      <w:pPr>
        <w:spacing w:after="150" w:line="240" w:lineRule="auto"/>
        <w:jc w:val="both"/>
        <w:rPr>
          <w:rFonts w:ascii="Arial" w:eastAsia="Times New Roman" w:hAnsi="Arial" w:cs="Arial"/>
          <w:color w:val="4A4A4A"/>
          <w:sz w:val="23"/>
          <w:szCs w:val="23"/>
          <w:lang w:eastAsia="es-CO"/>
        </w:rPr>
      </w:pPr>
      <w:r w:rsidRPr="000A2079">
        <w:rPr>
          <w:rFonts w:ascii="Arial" w:eastAsia="Times New Roman" w:hAnsi="Arial" w:cs="Arial"/>
          <w:color w:val="4A4A4A"/>
          <w:sz w:val="23"/>
          <w:szCs w:val="23"/>
          <w:lang w:eastAsia="es-CO"/>
        </w:rPr>
        <w:t>3. Sentencias 2143 de 11 de febrero de 1999 y de 24 de agosto de 2001, radicación 2583, proferidas por la Sección Quinta de la Sala de lo Contencioso Administrativa del Consejo de Estado.</w:t>
      </w:r>
    </w:p>
    <w:p w:rsidR="00ED1976" w:rsidRDefault="00ED1976"/>
    <w:sectPr w:rsidR="00ED19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87B8C"/>
    <w:multiLevelType w:val="multilevel"/>
    <w:tmpl w:val="10BC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79"/>
    <w:rsid w:val="000A2079"/>
    <w:rsid w:val="00ED19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F80D0-D330-4FC7-A5CA-7C8E7A04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A20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2079"/>
    <w:rPr>
      <w:rFonts w:ascii="Times New Roman" w:eastAsia="Times New Roman" w:hAnsi="Times New Roman" w:cs="Times New Roman"/>
      <w:b/>
      <w:bCs/>
      <w:kern w:val="36"/>
      <w:sz w:val="48"/>
      <w:szCs w:val="48"/>
      <w:lang w:eastAsia="es-CO"/>
    </w:rPr>
  </w:style>
  <w:style w:type="paragraph" w:customStyle="1" w:styleId="text-center">
    <w:name w:val="text-center"/>
    <w:basedOn w:val="Normal"/>
    <w:rsid w:val="000A207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0A2079"/>
    <w:rPr>
      <w:color w:val="0000FF"/>
      <w:u w:val="single"/>
    </w:rPr>
  </w:style>
  <w:style w:type="paragraph" w:styleId="NormalWeb">
    <w:name w:val="Normal (Web)"/>
    <w:basedOn w:val="Normal"/>
    <w:uiPriority w:val="99"/>
    <w:semiHidden/>
    <w:unhideWhenUsed/>
    <w:rsid w:val="000A207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0A207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0A2079"/>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993227">
      <w:bodyDiv w:val="1"/>
      <w:marLeft w:val="0"/>
      <w:marRight w:val="0"/>
      <w:marTop w:val="0"/>
      <w:marBottom w:val="0"/>
      <w:divBdr>
        <w:top w:val="none" w:sz="0" w:space="0" w:color="auto"/>
        <w:left w:val="none" w:sz="0" w:space="0" w:color="auto"/>
        <w:bottom w:val="none" w:sz="0" w:space="0" w:color="auto"/>
        <w:right w:val="none" w:sz="0" w:space="0" w:color="auto"/>
      </w:divBdr>
      <w:divsChild>
        <w:div w:id="1636179600">
          <w:marLeft w:val="0"/>
          <w:marRight w:val="0"/>
          <w:marTop w:val="0"/>
          <w:marBottom w:val="0"/>
          <w:divBdr>
            <w:top w:val="none" w:sz="0" w:space="0" w:color="auto"/>
            <w:left w:val="none" w:sz="0" w:space="0" w:color="auto"/>
            <w:bottom w:val="none" w:sz="0" w:space="0" w:color="auto"/>
            <w:right w:val="none" w:sz="0" w:space="0" w:color="auto"/>
          </w:divBdr>
          <w:divsChild>
            <w:div w:id="1934892220">
              <w:marLeft w:val="-225"/>
              <w:marRight w:val="-225"/>
              <w:marTop w:val="0"/>
              <w:marBottom w:val="0"/>
              <w:divBdr>
                <w:top w:val="none" w:sz="0" w:space="0" w:color="auto"/>
                <w:left w:val="none" w:sz="0" w:space="0" w:color="auto"/>
                <w:bottom w:val="none" w:sz="0" w:space="0" w:color="auto"/>
                <w:right w:val="none" w:sz="0" w:space="0" w:color="auto"/>
              </w:divBdr>
              <w:divsChild>
                <w:div w:id="1397361268">
                  <w:marLeft w:val="0"/>
                  <w:marRight w:val="0"/>
                  <w:marTop w:val="0"/>
                  <w:marBottom w:val="0"/>
                  <w:divBdr>
                    <w:top w:val="none" w:sz="0" w:space="0" w:color="auto"/>
                    <w:left w:val="none" w:sz="0" w:space="0" w:color="auto"/>
                    <w:bottom w:val="none" w:sz="0" w:space="0" w:color="auto"/>
                    <w:right w:val="none" w:sz="0" w:space="0" w:color="auto"/>
                  </w:divBdr>
                </w:div>
                <w:div w:id="20876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0545">
          <w:marLeft w:val="0"/>
          <w:marRight w:val="0"/>
          <w:marTop w:val="0"/>
          <w:marBottom w:val="0"/>
          <w:divBdr>
            <w:top w:val="none" w:sz="0" w:space="0" w:color="auto"/>
            <w:left w:val="none" w:sz="0" w:space="0" w:color="auto"/>
            <w:bottom w:val="none" w:sz="0" w:space="0" w:color="auto"/>
            <w:right w:val="none" w:sz="0" w:space="0" w:color="auto"/>
          </w:divBdr>
          <w:divsChild>
            <w:div w:id="796948859">
              <w:marLeft w:val="0"/>
              <w:marRight w:val="0"/>
              <w:marTop w:val="0"/>
              <w:marBottom w:val="0"/>
              <w:divBdr>
                <w:top w:val="none" w:sz="0" w:space="0" w:color="auto"/>
                <w:left w:val="none" w:sz="0" w:space="0" w:color="auto"/>
                <w:bottom w:val="none" w:sz="0" w:space="0" w:color="auto"/>
                <w:right w:val="none" w:sz="0" w:space="0" w:color="auto"/>
              </w:divBdr>
              <w:divsChild>
                <w:div w:id="1958216869">
                  <w:marLeft w:val="0"/>
                  <w:marRight w:val="0"/>
                  <w:marTop w:val="0"/>
                  <w:marBottom w:val="0"/>
                  <w:divBdr>
                    <w:top w:val="none" w:sz="0" w:space="0" w:color="auto"/>
                    <w:left w:val="none" w:sz="0" w:space="0" w:color="auto"/>
                    <w:bottom w:val="none" w:sz="0" w:space="0" w:color="auto"/>
                    <w:right w:val="none" w:sz="0" w:space="0" w:color="auto"/>
                  </w:divBdr>
                  <w:divsChild>
                    <w:div w:id="2095397391">
                      <w:marLeft w:val="-225"/>
                      <w:marRight w:val="-225"/>
                      <w:marTop w:val="0"/>
                      <w:marBottom w:val="0"/>
                      <w:divBdr>
                        <w:top w:val="none" w:sz="0" w:space="0" w:color="auto"/>
                        <w:left w:val="none" w:sz="0" w:space="0" w:color="auto"/>
                        <w:bottom w:val="none" w:sz="0" w:space="0" w:color="auto"/>
                        <w:right w:val="none" w:sz="0" w:space="0" w:color="auto"/>
                      </w:divBdr>
                      <w:divsChild>
                        <w:div w:id="59988434">
                          <w:marLeft w:val="0"/>
                          <w:marRight w:val="0"/>
                          <w:marTop w:val="0"/>
                          <w:marBottom w:val="0"/>
                          <w:divBdr>
                            <w:top w:val="none" w:sz="0" w:space="0" w:color="auto"/>
                            <w:left w:val="none" w:sz="0" w:space="0" w:color="auto"/>
                            <w:bottom w:val="none" w:sz="0" w:space="0" w:color="auto"/>
                            <w:right w:val="none" w:sz="0" w:space="0" w:color="auto"/>
                          </w:divBdr>
                          <w:divsChild>
                            <w:div w:id="2133477912">
                              <w:marLeft w:val="0"/>
                              <w:marRight w:val="0"/>
                              <w:marTop w:val="0"/>
                              <w:marBottom w:val="0"/>
                              <w:divBdr>
                                <w:top w:val="none" w:sz="0" w:space="0" w:color="auto"/>
                                <w:left w:val="none" w:sz="0" w:space="0" w:color="auto"/>
                                <w:bottom w:val="none" w:sz="0" w:space="0" w:color="auto"/>
                                <w:right w:val="none" w:sz="0" w:space="0" w:color="auto"/>
                              </w:divBdr>
                            </w:div>
                            <w:div w:id="6304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95212"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37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329" TargetMode="External"/><Relationship Id="rId11" Type="http://schemas.openxmlformats.org/officeDocument/2006/relationships/fontTable" Target="fontTable.xml"/><Relationship Id="rId5" Type="http://schemas.openxmlformats.org/officeDocument/2006/relationships/hyperlink" Target="https://www.funcionpublica.gov.co/eva/gestornormativo/norma.php?i=329" TargetMode="External"/><Relationship Id="rId10" Type="http://schemas.openxmlformats.org/officeDocument/2006/relationships/hyperlink" Target="https://www.funcionpublica.gov.co/eva/es/gestor-normativo"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37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1267</Words>
  <Characters>6972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1</cp:revision>
  <dcterms:created xsi:type="dcterms:W3CDTF">2020-02-04T15:08:00Z</dcterms:created>
  <dcterms:modified xsi:type="dcterms:W3CDTF">2020-02-04T15:11:00Z</dcterms:modified>
</cp:coreProperties>
</file>